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95" w:rsidRDefault="00233095" w:rsidP="00233095">
      <w:pPr>
        <w:spacing w:after="480"/>
        <w:jc w:val="center"/>
        <w:rPr>
          <w:b/>
          <w:sz w:val="28"/>
          <w:szCs w:val="28"/>
          <w:u w:val="single"/>
        </w:rPr>
      </w:pPr>
      <w:r w:rsidRPr="000B30B4">
        <w:rPr>
          <w:rFonts w:ascii="Georgia" w:hAnsi="Georgia"/>
          <w:noProof/>
          <w:lang w:eastAsia="en-GB"/>
        </w:rPr>
        <w:drawing>
          <wp:inline distT="0" distB="0" distL="0" distR="0">
            <wp:extent cx="4360333" cy="930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6328" cy="936455"/>
                    </a:xfrm>
                    <a:prstGeom prst="rect">
                      <a:avLst/>
                    </a:prstGeom>
                    <a:noFill/>
                    <a:ln>
                      <a:noFill/>
                    </a:ln>
                  </pic:spPr>
                </pic:pic>
              </a:graphicData>
            </a:graphic>
          </wp:inline>
        </w:drawing>
      </w:r>
    </w:p>
    <w:p w:rsidR="00233095" w:rsidRPr="00C608C2" w:rsidRDefault="00233095" w:rsidP="00233095">
      <w:pPr>
        <w:spacing w:after="480"/>
        <w:jc w:val="center"/>
        <w:rPr>
          <w:rFonts w:ascii="Proxima Nova Rg" w:hAnsi="Proxima Nova Rg"/>
          <w:b/>
          <w:sz w:val="22"/>
          <w:szCs w:val="22"/>
          <w:u w:val="single"/>
        </w:rPr>
      </w:pPr>
      <w:r w:rsidRPr="00C608C2">
        <w:rPr>
          <w:rFonts w:ascii="Proxima Nova Rg" w:hAnsi="Proxima Nova Rg"/>
          <w:b/>
          <w:sz w:val="22"/>
          <w:szCs w:val="22"/>
          <w:u w:val="single"/>
        </w:rPr>
        <w:t>Guidance for administrators considering furloughing employees</w:t>
      </w:r>
    </w:p>
    <w:p w:rsidR="001C62E6" w:rsidRPr="00C608C2" w:rsidRDefault="001C62E6" w:rsidP="005D7BC0">
      <w:pPr>
        <w:spacing w:after="480"/>
        <w:jc w:val="both"/>
        <w:rPr>
          <w:rFonts w:ascii="Proxima Nova Rg" w:hAnsi="Proxima Nova Rg"/>
          <w:b/>
          <w:sz w:val="22"/>
          <w:szCs w:val="22"/>
        </w:rPr>
      </w:pPr>
      <w:r w:rsidRPr="00C608C2">
        <w:rPr>
          <w:rFonts w:ascii="Proxima Nova Rg" w:hAnsi="Proxima Nova Rg"/>
          <w:b/>
          <w:i/>
          <w:sz w:val="22"/>
          <w:szCs w:val="22"/>
        </w:rPr>
        <w:t xml:space="preserve">Re Carluccio’s Limited (in administration), Re the Insolvency Act 1986 </w:t>
      </w:r>
      <w:r w:rsidRPr="00C608C2">
        <w:rPr>
          <w:rFonts w:ascii="Proxima Nova Rg" w:hAnsi="Proxima Nova Rg"/>
          <w:b/>
          <w:sz w:val="22"/>
          <w:szCs w:val="22"/>
        </w:rPr>
        <w:t>[2020] EWHC 886 (Ch)</w:t>
      </w:r>
    </w:p>
    <w:p w:rsidR="001C62E6" w:rsidRPr="00C608C2" w:rsidRDefault="001C62E6" w:rsidP="005D7BC0">
      <w:pPr>
        <w:spacing w:after="480"/>
        <w:jc w:val="both"/>
        <w:rPr>
          <w:rFonts w:ascii="Proxima Nova Rg" w:hAnsi="Proxima Nova Rg"/>
          <w:b/>
          <w:sz w:val="22"/>
          <w:szCs w:val="22"/>
        </w:rPr>
      </w:pPr>
      <w:r w:rsidRPr="00C608C2">
        <w:rPr>
          <w:rFonts w:ascii="Proxima Nova Rg" w:hAnsi="Proxima Nova Rg"/>
          <w:b/>
          <w:sz w:val="22"/>
          <w:szCs w:val="22"/>
        </w:rPr>
        <w:t>Introduction</w:t>
      </w:r>
    </w:p>
    <w:p w:rsidR="009116FC" w:rsidRPr="00C608C2" w:rsidRDefault="001C62E6"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On 13 April 2020 Snowden J handed down judgment giving directions to the </w:t>
      </w:r>
      <w:r w:rsidR="00734EB4" w:rsidRPr="00C608C2">
        <w:rPr>
          <w:rFonts w:ascii="Proxima Nova Rg" w:hAnsi="Proxima Nova Rg"/>
          <w:sz w:val="22"/>
          <w:szCs w:val="22"/>
        </w:rPr>
        <w:t>a</w:t>
      </w:r>
      <w:r w:rsidRPr="00C608C2">
        <w:rPr>
          <w:rFonts w:ascii="Proxima Nova Rg" w:hAnsi="Proxima Nova Rg"/>
          <w:sz w:val="22"/>
          <w:szCs w:val="22"/>
        </w:rPr>
        <w:t>dministrators of Carluccio’s Limited (the “</w:t>
      </w:r>
      <w:r w:rsidRPr="00C608C2">
        <w:rPr>
          <w:rFonts w:ascii="Proxima Nova Rg" w:hAnsi="Proxima Nova Rg"/>
          <w:b/>
          <w:sz w:val="22"/>
          <w:szCs w:val="22"/>
        </w:rPr>
        <w:t>Administrators</w:t>
      </w:r>
      <w:r w:rsidRPr="00C608C2">
        <w:rPr>
          <w:rFonts w:ascii="Proxima Nova Rg" w:hAnsi="Proxima Nova Rg"/>
          <w:sz w:val="22"/>
          <w:szCs w:val="22"/>
        </w:rPr>
        <w:t>”, the “</w:t>
      </w:r>
      <w:r w:rsidRPr="00C608C2">
        <w:rPr>
          <w:rFonts w:ascii="Proxima Nova Rg" w:hAnsi="Proxima Nova Rg"/>
          <w:b/>
          <w:sz w:val="22"/>
          <w:szCs w:val="22"/>
        </w:rPr>
        <w:t>Company</w:t>
      </w:r>
      <w:r w:rsidRPr="00C608C2">
        <w:rPr>
          <w:rFonts w:ascii="Proxima Nova Rg" w:hAnsi="Proxima Nova Rg"/>
          <w:sz w:val="22"/>
          <w:szCs w:val="22"/>
        </w:rPr>
        <w:t xml:space="preserve">”). The </w:t>
      </w:r>
      <w:r w:rsidR="000C43CC" w:rsidRPr="00C608C2">
        <w:rPr>
          <w:rFonts w:ascii="Proxima Nova Rg" w:hAnsi="Proxima Nova Rg"/>
          <w:sz w:val="22"/>
          <w:szCs w:val="22"/>
        </w:rPr>
        <w:t>A</w:t>
      </w:r>
      <w:r w:rsidRPr="00C608C2">
        <w:rPr>
          <w:rFonts w:ascii="Proxima Nova Rg" w:hAnsi="Proxima Nova Rg"/>
          <w:sz w:val="22"/>
          <w:szCs w:val="22"/>
        </w:rPr>
        <w:t xml:space="preserve">dministrators sought guidance and directions on whether, and how, they could place employees of the Company onto the Government’s furloughing scheme announced </w:t>
      </w:r>
      <w:r w:rsidR="00212475" w:rsidRPr="00C608C2">
        <w:rPr>
          <w:rFonts w:ascii="Proxima Nova Rg" w:hAnsi="Proxima Nova Rg"/>
          <w:sz w:val="22"/>
          <w:szCs w:val="22"/>
        </w:rPr>
        <w:t xml:space="preserve">on 20 March 2020 </w:t>
      </w:r>
      <w:r w:rsidRPr="00C608C2">
        <w:rPr>
          <w:rFonts w:ascii="Proxima Nova Rg" w:hAnsi="Proxima Nova Rg"/>
          <w:sz w:val="22"/>
          <w:szCs w:val="22"/>
        </w:rPr>
        <w:t>in response to the Covid-19 pandemic (the “</w:t>
      </w:r>
      <w:r w:rsidRPr="00C608C2">
        <w:rPr>
          <w:rFonts w:ascii="Proxima Nova Rg" w:hAnsi="Proxima Nova Rg"/>
          <w:b/>
          <w:sz w:val="22"/>
          <w:szCs w:val="22"/>
        </w:rPr>
        <w:t>Scheme</w:t>
      </w:r>
      <w:r w:rsidRPr="00C608C2">
        <w:rPr>
          <w:rFonts w:ascii="Proxima Nova Rg" w:hAnsi="Proxima Nova Rg"/>
          <w:sz w:val="22"/>
          <w:szCs w:val="22"/>
        </w:rPr>
        <w:t xml:space="preserve">”). </w:t>
      </w:r>
    </w:p>
    <w:p w:rsidR="009116FC" w:rsidRPr="00C608C2" w:rsidRDefault="009116FC" w:rsidP="005D7BC0">
      <w:pPr>
        <w:spacing w:after="480"/>
        <w:jc w:val="both"/>
        <w:rPr>
          <w:rFonts w:ascii="Proxima Nova Rg" w:hAnsi="Proxima Nova Rg"/>
          <w:b/>
          <w:sz w:val="22"/>
          <w:szCs w:val="22"/>
        </w:rPr>
      </w:pPr>
      <w:r w:rsidRPr="00C608C2">
        <w:rPr>
          <w:rFonts w:ascii="Proxima Nova Rg" w:hAnsi="Proxima Nova Rg"/>
          <w:b/>
          <w:sz w:val="22"/>
          <w:szCs w:val="22"/>
        </w:rPr>
        <w:t>Background</w:t>
      </w:r>
    </w:p>
    <w:p w:rsidR="009116FC" w:rsidRPr="00C608C2" w:rsidRDefault="005D7BC0"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Administrators’ current strategy is to ‘mothball’ the Company’s business during the Covid-19 lockdown and to seek a sale of the business in order to achieve a better result for creditors than on winding up.</w:t>
      </w:r>
      <w:r w:rsidR="00F65A81" w:rsidRPr="00C608C2">
        <w:rPr>
          <w:rFonts w:ascii="Proxima Nova Rg" w:hAnsi="Proxima Nova Rg"/>
          <w:sz w:val="22"/>
          <w:szCs w:val="22"/>
        </w:rPr>
        <w:t xml:space="preserve"> The Administrators stated that they had received several expressions of interest regarding a potential sale. However, t</w:t>
      </w:r>
      <w:r w:rsidR="009116FC" w:rsidRPr="00C608C2">
        <w:rPr>
          <w:rFonts w:ascii="Proxima Nova Rg" w:hAnsi="Proxima Nova Rg"/>
          <w:sz w:val="22"/>
          <w:szCs w:val="22"/>
        </w:rPr>
        <w:t>he evidence of the Administrators was that the Company ha</w:t>
      </w:r>
      <w:r w:rsidR="00703C03" w:rsidRPr="00C608C2">
        <w:rPr>
          <w:rFonts w:ascii="Proxima Nova Rg" w:hAnsi="Proxima Nova Rg"/>
          <w:sz w:val="22"/>
          <w:szCs w:val="22"/>
        </w:rPr>
        <w:t>s</w:t>
      </w:r>
      <w:r w:rsidR="009116FC" w:rsidRPr="00C608C2">
        <w:rPr>
          <w:rFonts w:ascii="Proxima Nova Rg" w:hAnsi="Proxima Nova Rg"/>
          <w:sz w:val="22"/>
          <w:szCs w:val="22"/>
        </w:rPr>
        <w:t xml:space="preserve"> no money with which to pay its employees</w:t>
      </w:r>
      <w:r w:rsidR="00F65A81" w:rsidRPr="00C608C2">
        <w:rPr>
          <w:rFonts w:ascii="Proxima Nova Rg" w:hAnsi="Proxima Nova Rg"/>
          <w:sz w:val="22"/>
          <w:szCs w:val="22"/>
        </w:rPr>
        <w:t xml:space="preserve"> in the meantime</w:t>
      </w:r>
      <w:r w:rsidR="009116FC" w:rsidRPr="00C608C2">
        <w:rPr>
          <w:rFonts w:ascii="Proxima Nova Rg" w:hAnsi="Proxima Nova Rg"/>
          <w:sz w:val="22"/>
          <w:szCs w:val="22"/>
        </w:rPr>
        <w:t xml:space="preserve">. </w:t>
      </w:r>
    </w:p>
    <w:p w:rsidR="005D7BC0" w:rsidRPr="00C608C2" w:rsidRDefault="005D7BC0"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The Administrators had sent letters to all of the Company’s employees </w:t>
      </w:r>
      <w:r w:rsidR="001E5C48" w:rsidRPr="00C608C2">
        <w:rPr>
          <w:rFonts w:ascii="Proxima Nova Rg" w:hAnsi="Proxima Nova Rg"/>
          <w:sz w:val="22"/>
          <w:szCs w:val="22"/>
        </w:rPr>
        <w:t xml:space="preserve">who were </w:t>
      </w:r>
      <w:r w:rsidRPr="00C608C2">
        <w:rPr>
          <w:rFonts w:ascii="Proxima Nova Rg" w:hAnsi="Proxima Nova Rg"/>
          <w:sz w:val="22"/>
          <w:szCs w:val="22"/>
        </w:rPr>
        <w:t xml:space="preserve">not immediately required </w:t>
      </w:r>
      <w:r w:rsidR="001E5C48" w:rsidRPr="00C608C2">
        <w:rPr>
          <w:rFonts w:ascii="Proxima Nova Rg" w:hAnsi="Proxima Nova Rg"/>
          <w:sz w:val="22"/>
          <w:szCs w:val="22"/>
        </w:rPr>
        <w:t xml:space="preserve">to assist the Administrators, </w:t>
      </w:r>
      <w:r w:rsidRPr="00C608C2">
        <w:rPr>
          <w:rFonts w:ascii="Proxima Nova Rg" w:hAnsi="Proxima Nova Rg"/>
          <w:sz w:val="22"/>
          <w:szCs w:val="22"/>
        </w:rPr>
        <w:t>offering to employ them on varied terms (the “</w:t>
      </w:r>
      <w:r w:rsidRPr="00C608C2">
        <w:rPr>
          <w:rFonts w:ascii="Proxima Nova Rg" w:hAnsi="Proxima Nova Rg"/>
          <w:b/>
          <w:sz w:val="22"/>
          <w:szCs w:val="22"/>
        </w:rPr>
        <w:t>Variation Letter</w:t>
      </w:r>
      <w:r w:rsidRPr="00C608C2">
        <w:rPr>
          <w:rFonts w:ascii="Proxima Nova Rg" w:hAnsi="Proxima Nova Rg"/>
          <w:sz w:val="22"/>
          <w:szCs w:val="22"/>
        </w:rPr>
        <w:t>”). The Variation Letter set out the Administrators’ intention to place the employee on furlough leave, to claim under the scheme in respect of that employee, and stated that the employee would only be paid if and when the Company received a grant from the Government under the Scheme in respect of that employee.</w:t>
      </w:r>
    </w:p>
    <w:p w:rsidR="005D7BC0" w:rsidRPr="00C608C2" w:rsidRDefault="005D7BC0"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As of 10am on 7 April 2020, 1,707 of the 1,788 employees sent the Variation Letter had consented to its terms (the “</w:t>
      </w:r>
      <w:r w:rsidRPr="00C608C2">
        <w:rPr>
          <w:rFonts w:ascii="Proxima Nova Rg" w:hAnsi="Proxima Nova Rg"/>
          <w:b/>
          <w:sz w:val="22"/>
          <w:szCs w:val="22"/>
        </w:rPr>
        <w:t>Consenting Employees</w:t>
      </w:r>
      <w:r w:rsidRPr="00C608C2">
        <w:rPr>
          <w:rFonts w:ascii="Proxima Nova Rg" w:hAnsi="Proxima Nova Rg"/>
          <w:sz w:val="22"/>
          <w:szCs w:val="22"/>
        </w:rPr>
        <w:t>”), 4 had rejected it (the “</w:t>
      </w:r>
      <w:r w:rsidRPr="00C608C2">
        <w:rPr>
          <w:rFonts w:ascii="Proxima Nova Rg" w:hAnsi="Proxima Nova Rg"/>
          <w:b/>
          <w:sz w:val="22"/>
          <w:szCs w:val="22"/>
        </w:rPr>
        <w:t>Objecting Employees</w:t>
      </w:r>
      <w:r w:rsidRPr="00C608C2">
        <w:rPr>
          <w:rFonts w:ascii="Proxima Nova Rg" w:hAnsi="Proxima Nova Rg"/>
          <w:sz w:val="22"/>
          <w:szCs w:val="22"/>
        </w:rPr>
        <w:t>”) and stated that they wished to be made redundant, and the remaining 77 had not responded (the “</w:t>
      </w:r>
      <w:r w:rsidRPr="00C608C2">
        <w:rPr>
          <w:rFonts w:ascii="Proxima Nova Rg" w:hAnsi="Proxima Nova Rg"/>
          <w:b/>
          <w:sz w:val="22"/>
          <w:szCs w:val="22"/>
        </w:rPr>
        <w:t>Non-</w:t>
      </w:r>
      <w:r w:rsidR="001E5C48" w:rsidRPr="00C608C2">
        <w:rPr>
          <w:rFonts w:ascii="Proxima Nova Rg" w:hAnsi="Proxima Nova Rg"/>
          <w:b/>
          <w:sz w:val="22"/>
          <w:szCs w:val="22"/>
        </w:rPr>
        <w:t>R</w:t>
      </w:r>
      <w:r w:rsidRPr="00C608C2">
        <w:rPr>
          <w:rFonts w:ascii="Proxima Nova Rg" w:hAnsi="Proxima Nova Rg"/>
          <w:b/>
          <w:sz w:val="22"/>
          <w:szCs w:val="22"/>
        </w:rPr>
        <w:t>esponding Employees</w:t>
      </w:r>
      <w:r w:rsidRPr="00C608C2">
        <w:rPr>
          <w:rFonts w:ascii="Proxima Nova Rg" w:hAnsi="Proxima Nova Rg"/>
          <w:sz w:val="22"/>
          <w:szCs w:val="22"/>
        </w:rPr>
        <w:t>”).</w:t>
      </w:r>
    </w:p>
    <w:p w:rsidR="005D7BC0" w:rsidRPr="00C608C2" w:rsidRDefault="005D7BC0"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The urgency of the Administrators’ application was due to the 14-day grace period under paragraph 99(5) of Schedule B1 of the Insolvency Act 1986, under which their </w:t>
      </w:r>
      <w:r w:rsidRPr="00C608C2">
        <w:rPr>
          <w:rFonts w:ascii="Proxima Nova Rg" w:hAnsi="Proxima Nova Rg"/>
          <w:sz w:val="22"/>
          <w:szCs w:val="22"/>
        </w:rPr>
        <w:lastRenderedPageBreak/>
        <w:t xml:space="preserve">actions for that period were not to be taken as adopting any contracts of employment with the Company’s employees. The end of that period was on 13 April 2020 and the Administrators sought confirmation that (i) they had successfully varied the contracts of employment of the Consenting Employees, (ii) that they had not </w:t>
      </w:r>
      <w:r w:rsidR="001E5C48" w:rsidRPr="00C608C2">
        <w:rPr>
          <w:rFonts w:ascii="Proxima Nova Rg" w:hAnsi="Proxima Nova Rg"/>
          <w:sz w:val="22"/>
          <w:szCs w:val="22"/>
        </w:rPr>
        <w:t xml:space="preserve">by their actions </w:t>
      </w:r>
      <w:r w:rsidRPr="00C608C2">
        <w:rPr>
          <w:rFonts w:ascii="Proxima Nova Rg" w:hAnsi="Proxima Nova Rg"/>
          <w:sz w:val="22"/>
          <w:szCs w:val="22"/>
        </w:rPr>
        <w:t>adopted the contracts of the Objecting Employees, and (iii) they would not have to dismiss the Non-</w:t>
      </w:r>
      <w:r w:rsidR="001E5C48" w:rsidRPr="00C608C2">
        <w:rPr>
          <w:rFonts w:ascii="Proxima Nova Rg" w:hAnsi="Proxima Nova Rg"/>
          <w:sz w:val="22"/>
          <w:szCs w:val="22"/>
        </w:rPr>
        <w:t>R</w:t>
      </w:r>
      <w:r w:rsidRPr="00C608C2">
        <w:rPr>
          <w:rFonts w:ascii="Proxima Nova Rg" w:hAnsi="Proxima Nova Rg"/>
          <w:sz w:val="22"/>
          <w:szCs w:val="22"/>
        </w:rPr>
        <w:t xml:space="preserve">esponding Employees prior to </w:t>
      </w:r>
      <w:r w:rsidR="001E5C48" w:rsidRPr="00C608C2">
        <w:rPr>
          <w:rFonts w:ascii="Proxima Nova Rg" w:hAnsi="Proxima Nova Rg"/>
          <w:sz w:val="22"/>
          <w:szCs w:val="22"/>
        </w:rPr>
        <w:t>the end of the 14-day period</w:t>
      </w:r>
      <w:r w:rsidRPr="00C608C2">
        <w:rPr>
          <w:rFonts w:ascii="Proxima Nova Rg" w:hAnsi="Proxima Nova Rg"/>
          <w:sz w:val="22"/>
          <w:szCs w:val="22"/>
        </w:rPr>
        <w:t xml:space="preserve"> in order to avoid adoption of their contracts of employment.</w:t>
      </w:r>
    </w:p>
    <w:p w:rsidR="001C62E6" w:rsidRPr="00C608C2" w:rsidRDefault="000C43CC"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problem facing the Administrators</w:t>
      </w:r>
      <w:r w:rsidR="00F65A81" w:rsidRPr="00C608C2">
        <w:rPr>
          <w:rFonts w:ascii="Proxima Nova Rg" w:hAnsi="Proxima Nova Rg"/>
          <w:sz w:val="22"/>
          <w:szCs w:val="22"/>
        </w:rPr>
        <w:t xml:space="preserve"> and their legal representatives</w:t>
      </w:r>
      <w:r w:rsidRPr="00C608C2">
        <w:rPr>
          <w:rFonts w:ascii="Proxima Nova Rg" w:hAnsi="Proxima Nova Rg"/>
          <w:sz w:val="22"/>
          <w:szCs w:val="22"/>
        </w:rPr>
        <w:t xml:space="preserve">, and </w:t>
      </w:r>
      <w:r w:rsidR="00F65A81" w:rsidRPr="00C608C2">
        <w:rPr>
          <w:rFonts w:ascii="Proxima Nova Rg" w:hAnsi="Proxima Nova Rg"/>
          <w:sz w:val="22"/>
          <w:szCs w:val="22"/>
        </w:rPr>
        <w:t>the reason for seeking directions</w:t>
      </w:r>
      <w:r w:rsidRPr="00C608C2">
        <w:rPr>
          <w:rFonts w:ascii="Proxima Nova Rg" w:hAnsi="Proxima Nova Rg"/>
          <w:sz w:val="22"/>
          <w:szCs w:val="22"/>
        </w:rPr>
        <w:t xml:space="preserve">, </w:t>
      </w:r>
      <w:r w:rsidR="001E531A" w:rsidRPr="00C608C2">
        <w:rPr>
          <w:rFonts w:ascii="Proxima Nova Rg" w:hAnsi="Proxima Nova Rg"/>
          <w:sz w:val="22"/>
          <w:szCs w:val="22"/>
        </w:rPr>
        <w:t>was</w:t>
      </w:r>
      <w:r w:rsidRPr="00C608C2">
        <w:rPr>
          <w:rFonts w:ascii="Proxima Nova Rg" w:hAnsi="Proxima Nova Rg"/>
          <w:sz w:val="22"/>
          <w:szCs w:val="22"/>
        </w:rPr>
        <w:t xml:space="preserve"> as follows:</w:t>
      </w:r>
    </w:p>
    <w:p w:rsidR="000C43CC" w:rsidRPr="00C608C2" w:rsidRDefault="000C43CC"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As yet no draft legislation or regulations have been published for the Scheme, which </w:t>
      </w:r>
      <w:r w:rsidR="001E5C48" w:rsidRPr="00C608C2">
        <w:rPr>
          <w:rFonts w:ascii="Proxima Nova Rg" w:hAnsi="Proxima Nova Rg"/>
          <w:sz w:val="22"/>
          <w:szCs w:val="22"/>
        </w:rPr>
        <w:t>has</w:t>
      </w:r>
      <w:r w:rsidRPr="00C608C2">
        <w:rPr>
          <w:rFonts w:ascii="Proxima Nova Rg" w:hAnsi="Proxima Nova Rg"/>
          <w:sz w:val="22"/>
          <w:szCs w:val="22"/>
        </w:rPr>
        <w:t xml:space="preserve"> effect from 1 March 2020. The only indications of the scope of and criteria for the Scheme are those set out in the speech of the Chancellor, the Rt. Hon. Rishi Sunak,  in his speech on 20 March 2020, and in the online guidance provided at </w:t>
      </w:r>
      <w:hyperlink r:id="rId9" w:history="1">
        <w:r w:rsidR="001E531A" w:rsidRPr="00C608C2">
          <w:rPr>
            <w:rStyle w:val="Hyperlink"/>
            <w:rFonts w:ascii="Proxima Nova Rg" w:hAnsi="Proxima Nova Rg"/>
            <w:sz w:val="22"/>
            <w:szCs w:val="22"/>
          </w:rPr>
          <w:t>https://www.gov.uk/guidance/claim-for-wage-costs-through-the-coronavirus-job-retention-scheme</w:t>
        </w:r>
      </w:hyperlink>
      <w:r w:rsidR="001E531A" w:rsidRPr="00C608C2">
        <w:rPr>
          <w:rFonts w:ascii="Proxima Nova Rg" w:hAnsi="Proxima Nova Rg"/>
          <w:sz w:val="22"/>
          <w:szCs w:val="22"/>
        </w:rPr>
        <w:t xml:space="preserve"> (the “</w:t>
      </w:r>
      <w:r w:rsidR="001E531A" w:rsidRPr="00C608C2">
        <w:rPr>
          <w:rFonts w:ascii="Proxima Nova Rg" w:hAnsi="Proxima Nova Rg"/>
          <w:b/>
          <w:sz w:val="22"/>
          <w:szCs w:val="22"/>
        </w:rPr>
        <w:t>Scheme Guidance</w:t>
      </w:r>
      <w:r w:rsidR="001E531A" w:rsidRPr="00C608C2">
        <w:rPr>
          <w:rFonts w:ascii="Proxima Nova Rg" w:hAnsi="Proxima Nova Rg"/>
          <w:sz w:val="22"/>
          <w:szCs w:val="22"/>
        </w:rPr>
        <w:t>”).</w:t>
      </w:r>
    </w:p>
    <w:p w:rsidR="00233095" w:rsidRPr="00C608C2" w:rsidRDefault="001E531A"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As such, although it is clear from the Scheme Guidance that the Scheme is intended to be available to companies in administration</w:t>
      </w:r>
      <w:r w:rsidR="00734EB4" w:rsidRPr="00C608C2">
        <w:rPr>
          <w:rFonts w:ascii="Proxima Nova Rg" w:hAnsi="Proxima Nova Rg"/>
          <w:sz w:val="22"/>
          <w:szCs w:val="22"/>
        </w:rPr>
        <w:t xml:space="preserve"> where there is a “</w:t>
      </w:r>
      <w:r w:rsidR="00734EB4" w:rsidRPr="00C608C2">
        <w:rPr>
          <w:rFonts w:ascii="Proxima Nova Rg" w:hAnsi="Proxima Nova Rg"/>
          <w:i/>
          <w:sz w:val="22"/>
          <w:szCs w:val="22"/>
        </w:rPr>
        <w:t>reasonable likelihood of rehiring the workers</w:t>
      </w:r>
      <w:r w:rsidR="00734EB4" w:rsidRPr="00C608C2">
        <w:rPr>
          <w:rFonts w:ascii="Proxima Nova Rg" w:hAnsi="Proxima Nova Rg"/>
          <w:sz w:val="22"/>
          <w:szCs w:val="22"/>
        </w:rPr>
        <w:t>”</w:t>
      </w:r>
      <w:r w:rsidRPr="00C608C2">
        <w:rPr>
          <w:rFonts w:ascii="Proxima Nova Rg" w:hAnsi="Proxima Nova Rg"/>
          <w:sz w:val="22"/>
          <w:szCs w:val="22"/>
        </w:rPr>
        <w:t xml:space="preserve">, it is not clear how the Scheme is intended to work in the insolvency process. </w:t>
      </w:r>
    </w:p>
    <w:p w:rsidR="001E531A" w:rsidRPr="00C608C2" w:rsidRDefault="001E531A"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The Scheme Guidance states that the furlough payments are to be paid to the employer rather than the employee. As Snowden J </w:t>
      </w:r>
      <w:r w:rsidR="00233095" w:rsidRPr="00C608C2">
        <w:rPr>
          <w:rFonts w:ascii="Proxima Nova Rg" w:hAnsi="Proxima Nova Rg"/>
          <w:sz w:val="22"/>
          <w:szCs w:val="22"/>
        </w:rPr>
        <w:t>noted</w:t>
      </w:r>
      <w:r w:rsidR="00734EB4" w:rsidRPr="00C608C2">
        <w:rPr>
          <w:rFonts w:ascii="Proxima Nova Rg" w:hAnsi="Proxima Nova Rg"/>
          <w:sz w:val="22"/>
          <w:szCs w:val="22"/>
        </w:rPr>
        <w:t>, that creates a potential problem</w:t>
      </w:r>
      <w:r w:rsidRPr="00C608C2">
        <w:rPr>
          <w:rFonts w:ascii="Proxima Nova Rg" w:hAnsi="Proxima Nova Rg"/>
          <w:sz w:val="22"/>
          <w:szCs w:val="22"/>
        </w:rPr>
        <w:t>: “</w:t>
      </w:r>
      <w:r w:rsidR="00734EB4" w:rsidRPr="00C608C2">
        <w:rPr>
          <w:rFonts w:ascii="Proxima Nova Rg" w:hAnsi="Proxima Nova Rg"/>
          <w:i/>
          <w:sz w:val="22"/>
          <w:szCs w:val="22"/>
        </w:rPr>
        <w:t>[u]</w:t>
      </w:r>
      <w:r w:rsidRPr="00C608C2">
        <w:rPr>
          <w:rFonts w:ascii="Proxima Nova Rg" w:hAnsi="Proxima Nova Rg"/>
          <w:i/>
          <w:sz w:val="22"/>
          <w:szCs w:val="22"/>
        </w:rPr>
        <w:t>nder the insolvency legislation, administrators are not free to dispose of the assets of the company in administration as they see fit, but must do so in accordance with the insolvency legislation and, in particular, by making payments in the order of priorities prescribed in that legislation</w:t>
      </w:r>
      <w:r w:rsidRPr="00C608C2">
        <w:rPr>
          <w:rFonts w:ascii="Proxima Nova Rg" w:hAnsi="Proxima Nova Rg"/>
          <w:sz w:val="22"/>
          <w:szCs w:val="22"/>
        </w:rPr>
        <w:t>”.</w:t>
      </w:r>
      <w:r w:rsidR="007F14F9" w:rsidRPr="00C608C2">
        <w:rPr>
          <w:rStyle w:val="FootnoteReference"/>
          <w:rFonts w:ascii="Proxima Nova Rg" w:hAnsi="Proxima Nova Rg"/>
          <w:sz w:val="22"/>
          <w:szCs w:val="22"/>
        </w:rPr>
        <w:footnoteReference w:id="2"/>
      </w:r>
    </w:p>
    <w:p w:rsidR="001E531A" w:rsidRPr="00C608C2" w:rsidRDefault="001E531A"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While there are means to ensure that monies payable to a company in financial difficulties are to be held on trust to make specific payments, nothing in the Scheme Guidance indicates that such techniques should be employed in this case, bar (possibly) the statement that “</w:t>
      </w:r>
      <w:r w:rsidRPr="00C608C2">
        <w:rPr>
          <w:rFonts w:ascii="Proxima Nova Rg" w:hAnsi="Proxima Nova Rg"/>
          <w:i/>
          <w:sz w:val="22"/>
          <w:szCs w:val="22"/>
        </w:rPr>
        <w:t>[y]ou must pay the employee all of the grant you receive for their gross pay in the form of money</w:t>
      </w:r>
      <w:r w:rsidRPr="00C608C2">
        <w:rPr>
          <w:rFonts w:ascii="Proxima Nova Rg" w:hAnsi="Proxima Nova Rg"/>
          <w:sz w:val="22"/>
          <w:szCs w:val="22"/>
        </w:rPr>
        <w:t>”.</w:t>
      </w:r>
      <w:r w:rsidR="007F14F9" w:rsidRPr="00C608C2">
        <w:rPr>
          <w:rStyle w:val="FootnoteReference"/>
          <w:rFonts w:ascii="Proxima Nova Rg" w:hAnsi="Proxima Nova Rg"/>
          <w:sz w:val="22"/>
          <w:szCs w:val="22"/>
        </w:rPr>
        <w:footnoteReference w:id="3"/>
      </w:r>
    </w:p>
    <w:p w:rsidR="001E531A" w:rsidRPr="00C608C2" w:rsidRDefault="001E531A"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Accordingly, </w:t>
      </w:r>
      <w:r w:rsidR="005D7BC0" w:rsidRPr="00C608C2">
        <w:rPr>
          <w:rFonts w:ascii="Proxima Nova Rg" w:hAnsi="Proxima Nova Rg"/>
          <w:sz w:val="22"/>
          <w:szCs w:val="22"/>
        </w:rPr>
        <w:t>the question is whether there is</w:t>
      </w:r>
      <w:r w:rsidRPr="00C608C2">
        <w:rPr>
          <w:rFonts w:ascii="Proxima Nova Rg" w:hAnsi="Proxima Nova Rg"/>
          <w:sz w:val="22"/>
          <w:szCs w:val="22"/>
        </w:rPr>
        <w:t xml:space="preserve"> a mechanism under the existing </w:t>
      </w:r>
      <w:r w:rsidR="005D7BC0" w:rsidRPr="00C608C2">
        <w:rPr>
          <w:rFonts w:ascii="Proxima Nova Rg" w:hAnsi="Proxima Nova Rg"/>
          <w:sz w:val="22"/>
          <w:szCs w:val="22"/>
        </w:rPr>
        <w:t>i</w:t>
      </w:r>
      <w:r w:rsidRPr="00C608C2">
        <w:rPr>
          <w:rFonts w:ascii="Proxima Nova Rg" w:hAnsi="Proxima Nova Rg"/>
          <w:sz w:val="22"/>
          <w:szCs w:val="22"/>
        </w:rPr>
        <w:t>nsolvency legislation by which the Administrators can make payments to furloughed employees in priority to other claims against the Company.</w:t>
      </w:r>
    </w:p>
    <w:p w:rsidR="00843AE0" w:rsidRPr="00C608C2" w:rsidRDefault="00843AE0"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only “</w:t>
      </w:r>
      <w:r w:rsidRPr="00C608C2">
        <w:rPr>
          <w:rFonts w:ascii="Proxima Nova Rg" w:hAnsi="Proxima Nova Rg"/>
          <w:i/>
          <w:sz w:val="22"/>
          <w:szCs w:val="22"/>
        </w:rPr>
        <w:t>realistic</w:t>
      </w:r>
      <w:r w:rsidRPr="00C608C2">
        <w:rPr>
          <w:rFonts w:ascii="Proxima Nova Rg" w:hAnsi="Proxima Nova Rg"/>
          <w:sz w:val="22"/>
          <w:szCs w:val="22"/>
        </w:rPr>
        <w:t xml:space="preserve">” candidates for such a mechanism are those under paragraphs 99 and 66 of Schedule B1 of the Insolvency Act 1986. </w:t>
      </w:r>
      <w:r w:rsidR="00F65A81" w:rsidRPr="00C608C2">
        <w:rPr>
          <w:rFonts w:ascii="Proxima Nova Rg" w:hAnsi="Proxima Nova Rg"/>
          <w:sz w:val="22"/>
          <w:szCs w:val="22"/>
        </w:rPr>
        <w:t>Snowden J’s</w:t>
      </w:r>
      <w:r w:rsidRPr="00C608C2">
        <w:rPr>
          <w:rFonts w:ascii="Proxima Nova Rg" w:hAnsi="Proxima Nova Rg"/>
          <w:sz w:val="22"/>
          <w:szCs w:val="22"/>
        </w:rPr>
        <w:t>analysis commenced with (and</w:t>
      </w:r>
      <w:r w:rsidR="003C446C" w:rsidRPr="00C608C2">
        <w:rPr>
          <w:rFonts w:ascii="Proxima Nova Rg" w:hAnsi="Proxima Nova Rg"/>
          <w:sz w:val="22"/>
          <w:szCs w:val="22"/>
        </w:rPr>
        <w:t xml:space="preserve"> ultimately</w:t>
      </w:r>
      <w:r w:rsidRPr="00C608C2">
        <w:rPr>
          <w:rFonts w:ascii="Proxima Nova Rg" w:hAnsi="Proxima Nova Rg"/>
          <w:sz w:val="22"/>
          <w:szCs w:val="22"/>
        </w:rPr>
        <w:t xml:space="preserve"> only </w:t>
      </w:r>
      <w:r w:rsidR="003C446C" w:rsidRPr="00C608C2">
        <w:rPr>
          <w:rFonts w:ascii="Proxima Nova Rg" w:hAnsi="Proxima Nova Rg"/>
          <w:sz w:val="22"/>
          <w:szCs w:val="22"/>
        </w:rPr>
        <w:t>required</w:t>
      </w:r>
      <w:r w:rsidRPr="00C608C2">
        <w:rPr>
          <w:rFonts w:ascii="Proxima Nova Rg" w:hAnsi="Proxima Nova Rg"/>
          <w:sz w:val="22"/>
          <w:szCs w:val="22"/>
        </w:rPr>
        <w:t xml:space="preserve">) paragraph 99 as it </w:t>
      </w:r>
      <w:r w:rsidRPr="00C608C2">
        <w:rPr>
          <w:rFonts w:ascii="Proxima Nova Rg" w:hAnsi="Proxima Nova Rg"/>
          <w:sz w:val="22"/>
          <w:szCs w:val="22"/>
        </w:rPr>
        <w:lastRenderedPageBreak/>
        <w:t>is specifically concerned with administrators’ ability to pay wages or salary to employees in an administration.</w:t>
      </w:r>
    </w:p>
    <w:p w:rsidR="007F14F9" w:rsidRPr="00C608C2" w:rsidRDefault="007F14F9"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Under paragraph 99 the adoption of a contract of employment by the Administrators </w:t>
      </w:r>
      <w:r w:rsidR="00AC3563" w:rsidRPr="00C608C2">
        <w:rPr>
          <w:rFonts w:ascii="Proxima Nova Rg" w:hAnsi="Proxima Nova Rg"/>
          <w:sz w:val="22"/>
          <w:szCs w:val="22"/>
        </w:rPr>
        <w:t xml:space="preserve">makes the payment of </w:t>
      </w:r>
      <w:r w:rsidR="002D4F43" w:rsidRPr="00C608C2">
        <w:rPr>
          <w:rFonts w:ascii="Proxima Nova Rg" w:hAnsi="Proxima Nova Rg"/>
          <w:sz w:val="22"/>
          <w:szCs w:val="22"/>
        </w:rPr>
        <w:t>wages and salary</w:t>
      </w:r>
      <w:r w:rsidR="00AC3563" w:rsidRPr="00C608C2">
        <w:rPr>
          <w:rFonts w:ascii="Proxima Nova Rg" w:hAnsi="Proxima Nova Rg"/>
          <w:sz w:val="22"/>
          <w:szCs w:val="22"/>
        </w:rPr>
        <w:t xml:space="preserve"> due under the contract a ‘super-priority’</w:t>
      </w:r>
      <w:r w:rsidR="003C446C" w:rsidRPr="00C608C2">
        <w:rPr>
          <w:rFonts w:ascii="Proxima Nova Rg" w:hAnsi="Proxima Nova Rg"/>
          <w:sz w:val="22"/>
          <w:szCs w:val="22"/>
        </w:rPr>
        <w:t>,</w:t>
      </w:r>
      <w:r w:rsidR="00AC3563" w:rsidRPr="00C608C2">
        <w:rPr>
          <w:rFonts w:ascii="Proxima Nova Rg" w:hAnsi="Proxima Nova Rg"/>
          <w:sz w:val="22"/>
          <w:szCs w:val="22"/>
        </w:rPr>
        <w:t xml:space="preserve"> ranking ahead of many other claims in the administration. Without adoption the employees of the Company rank as unsecured creditors.</w:t>
      </w:r>
    </w:p>
    <w:p w:rsidR="00734EB4" w:rsidRPr="00C608C2" w:rsidRDefault="00AC3563" w:rsidP="00843AE0">
      <w:pPr>
        <w:keepNext/>
        <w:spacing w:after="480"/>
        <w:jc w:val="both"/>
        <w:rPr>
          <w:rFonts w:ascii="Proxima Nova Rg" w:hAnsi="Proxima Nova Rg"/>
          <w:b/>
          <w:sz w:val="22"/>
          <w:szCs w:val="22"/>
        </w:rPr>
      </w:pPr>
      <w:r w:rsidRPr="00C608C2">
        <w:rPr>
          <w:rFonts w:ascii="Proxima Nova Rg" w:hAnsi="Proxima Nova Rg"/>
          <w:b/>
          <w:sz w:val="22"/>
          <w:szCs w:val="22"/>
        </w:rPr>
        <w:t>Decision</w:t>
      </w:r>
    </w:p>
    <w:p w:rsidR="00734EB4" w:rsidRPr="00C608C2" w:rsidRDefault="007F14F9"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Snowden J</w:t>
      </w:r>
      <w:r w:rsidR="00734EB4" w:rsidRPr="00C608C2">
        <w:rPr>
          <w:rFonts w:ascii="Proxima Nova Rg" w:hAnsi="Proxima Nova Rg"/>
          <w:sz w:val="22"/>
          <w:szCs w:val="22"/>
        </w:rPr>
        <w:t xml:space="preserve"> considered whether it was appropriate to give directions to the Administrators at all:</w:t>
      </w:r>
    </w:p>
    <w:p w:rsidR="00734EB4" w:rsidRPr="00C608C2" w:rsidRDefault="00734EB4"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Due to the urgency of the application and the difficulty of liaising with employees it had not proved possible to join any representative employees or interested parties to the application.</w:t>
      </w:r>
      <w:r w:rsidR="009116FC" w:rsidRPr="00C608C2">
        <w:rPr>
          <w:rStyle w:val="FootnoteReference"/>
          <w:rFonts w:ascii="Proxima Nova Rg" w:hAnsi="Proxima Nova Rg"/>
          <w:sz w:val="22"/>
          <w:szCs w:val="22"/>
        </w:rPr>
        <w:footnoteReference w:id="4"/>
      </w:r>
      <w:r w:rsidRPr="00C608C2">
        <w:rPr>
          <w:rFonts w:ascii="Proxima Nova Rg" w:hAnsi="Proxima Nova Rg"/>
          <w:sz w:val="22"/>
          <w:szCs w:val="22"/>
        </w:rPr>
        <w:t xml:space="preserve"> As a consequence, </w:t>
      </w:r>
      <w:r w:rsidR="003C446C" w:rsidRPr="00C608C2">
        <w:rPr>
          <w:rFonts w:ascii="Proxima Nova Rg" w:hAnsi="Proxima Nova Rg"/>
          <w:sz w:val="22"/>
          <w:szCs w:val="22"/>
        </w:rPr>
        <w:t>the judge</w:t>
      </w:r>
      <w:r w:rsidRPr="00C608C2">
        <w:rPr>
          <w:rFonts w:ascii="Proxima Nova Rg" w:hAnsi="Proxima Nova Rg"/>
          <w:sz w:val="22"/>
          <w:szCs w:val="22"/>
        </w:rPr>
        <w:t xml:space="preserve"> stated that he could not see how his decisions and directions on the law would bind any of the affected employees or the Government.</w:t>
      </w:r>
    </w:p>
    <w:p w:rsidR="00734EB4" w:rsidRPr="00C608C2" w:rsidRDefault="00734EB4"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Snowden J also noted the lack of information about how the Scheme was intended to operate as a matter of law in insolvency.</w:t>
      </w:r>
    </w:p>
    <w:p w:rsidR="00734EB4" w:rsidRPr="00C608C2" w:rsidRDefault="00734EB4" w:rsidP="005D7BC0">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However, the judge concluded that “</w:t>
      </w:r>
      <w:r w:rsidRPr="00C608C2">
        <w:rPr>
          <w:rFonts w:ascii="Proxima Nova Rg" w:hAnsi="Proxima Nova Rg"/>
          <w:i/>
          <w:sz w:val="22"/>
          <w:szCs w:val="22"/>
        </w:rPr>
        <w:t>the court should do what it could to give a view of the legal issues to assist the Administrators…wherever possible, the courts should work constructively together with the insolvency profession to implement the Government’s unprecedented response to the crisis in a similarly innovative manner</w:t>
      </w:r>
      <w:r w:rsidRPr="00C608C2">
        <w:rPr>
          <w:rFonts w:ascii="Proxima Nova Rg" w:hAnsi="Proxima Nova Rg"/>
          <w:sz w:val="22"/>
          <w:szCs w:val="22"/>
        </w:rPr>
        <w:t>”.</w:t>
      </w:r>
      <w:r w:rsidR="007F14F9" w:rsidRPr="00C608C2">
        <w:rPr>
          <w:rStyle w:val="FootnoteReference"/>
          <w:rFonts w:ascii="Proxima Nova Rg" w:hAnsi="Proxima Nova Rg"/>
          <w:sz w:val="22"/>
          <w:szCs w:val="22"/>
        </w:rPr>
        <w:footnoteReference w:id="5"/>
      </w:r>
    </w:p>
    <w:p w:rsidR="00734EB4" w:rsidRPr="00C608C2" w:rsidRDefault="007F14F9" w:rsidP="005D7BC0">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first question is whether the Variation Letter served to validly amend the contracts of employment of the employees to whom it was sent.</w:t>
      </w:r>
      <w:r w:rsidR="0041193C" w:rsidRPr="00C608C2">
        <w:rPr>
          <w:rFonts w:ascii="Proxima Nova Rg" w:hAnsi="Proxima Nova Rg"/>
          <w:sz w:val="22"/>
          <w:szCs w:val="22"/>
        </w:rPr>
        <w:t xml:space="preserve"> Snowden J found that:</w:t>
      </w:r>
      <w:r w:rsidR="00233095" w:rsidRPr="00C608C2">
        <w:rPr>
          <w:rStyle w:val="FootnoteReference"/>
          <w:rFonts w:ascii="Proxima Nova Rg" w:hAnsi="Proxima Nova Rg"/>
          <w:sz w:val="22"/>
          <w:szCs w:val="22"/>
        </w:rPr>
        <w:footnoteReference w:id="6"/>
      </w:r>
    </w:p>
    <w:p w:rsidR="007F14F9" w:rsidRPr="00C608C2" w:rsidRDefault="0041193C"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Variation Letter</w:t>
      </w:r>
      <w:r w:rsidR="007F14F9" w:rsidRPr="00C608C2">
        <w:rPr>
          <w:rFonts w:ascii="Proxima Nova Rg" w:hAnsi="Proxima Nova Rg"/>
          <w:sz w:val="22"/>
          <w:szCs w:val="22"/>
        </w:rPr>
        <w:t xml:space="preserve"> had that effect for Consenting Employees and those of the Non-Responding Employees who subsequently agreed.</w:t>
      </w:r>
    </w:p>
    <w:p w:rsidR="007F14F9" w:rsidRPr="00C608C2" w:rsidRDefault="007F14F9"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Objecting Employees would be made redundant and their contracts of employment terminated.</w:t>
      </w:r>
    </w:p>
    <w:p w:rsidR="007F14F9" w:rsidRPr="00C608C2" w:rsidRDefault="007F14F9"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lastRenderedPageBreak/>
        <w:t>The other Non-Responding Employees cannot be taken to have consented to vary their contract of employment.</w:t>
      </w:r>
    </w:p>
    <w:p w:rsidR="007F14F9" w:rsidRPr="00C608C2" w:rsidRDefault="007F14F9" w:rsidP="007F14F9">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second question was whether (or what) actions of the Administrators constituted adoption of the employment contracts in view of paragraph 99(5) of Schedule B1. Snowden J concluded that:</w:t>
      </w:r>
      <w:r w:rsidR="000F5B6E" w:rsidRPr="00C608C2">
        <w:rPr>
          <w:rStyle w:val="FootnoteReference"/>
          <w:rFonts w:ascii="Proxima Nova Rg" w:hAnsi="Proxima Nova Rg"/>
          <w:sz w:val="22"/>
          <w:szCs w:val="22"/>
        </w:rPr>
        <w:footnoteReference w:id="7"/>
      </w:r>
    </w:p>
    <w:p w:rsidR="007F14F9" w:rsidRPr="00C608C2" w:rsidRDefault="007F14F9"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Variation Letter was sent out within the 14-day grace period so did not constitute adoption.</w:t>
      </w:r>
    </w:p>
    <w:p w:rsidR="007F14F9" w:rsidRPr="00C608C2" w:rsidRDefault="007F14F9"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When the Administrators made an application under the Scheme in respect of a given Consenting Employee, or made a payment to an employee, that constituted adoption of that employee’s contract.</w:t>
      </w:r>
    </w:p>
    <w:p w:rsidR="007F14F9" w:rsidRPr="00C608C2" w:rsidRDefault="00B962A2"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The contracts of the Objecting Employees were not varied or adopted.</w:t>
      </w:r>
    </w:p>
    <w:p w:rsidR="00B962A2" w:rsidRPr="00C608C2" w:rsidRDefault="00B962A2"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If the Non-Responding Employees agreed within the 14-day period they would be in the same position as the Consenting Employees.</w:t>
      </w:r>
    </w:p>
    <w:p w:rsidR="00B962A2" w:rsidRPr="00C608C2" w:rsidRDefault="00B962A2"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After the 14-day period and given the business was ‘mothballed’ there was nothing that could be done or said by the Administrators that would constitute adoption – so there was no risk of adopting the original contract of the remaining Non-Responding Employees.</w:t>
      </w:r>
      <w:r w:rsidR="003C446C" w:rsidRPr="00C608C2">
        <w:rPr>
          <w:rFonts w:ascii="Proxima Nova Rg" w:hAnsi="Proxima Nova Rg"/>
          <w:sz w:val="22"/>
          <w:szCs w:val="22"/>
        </w:rPr>
        <w:t xml:space="preserve"> Mere failure to terminate the contracts of employment did not constitute adoption.</w:t>
      </w:r>
      <w:r w:rsidR="003C446C" w:rsidRPr="00C608C2">
        <w:rPr>
          <w:rStyle w:val="FootnoteReference"/>
          <w:rFonts w:ascii="Proxima Nova Rg" w:hAnsi="Proxima Nova Rg"/>
          <w:sz w:val="22"/>
          <w:szCs w:val="22"/>
        </w:rPr>
        <w:footnoteReference w:id="8"/>
      </w:r>
    </w:p>
    <w:p w:rsidR="00B962A2" w:rsidRPr="00C608C2" w:rsidRDefault="00B962A2"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If and when the Non-Responding Employees consented or objected after the end of the 14-day period, they would be in the same position as the Consenting or Objecting Employees.</w:t>
      </w:r>
    </w:p>
    <w:p w:rsidR="00BE5FD7" w:rsidRPr="00C608C2" w:rsidRDefault="00B962A2" w:rsidP="007F14F9">
      <w:pPr>
        <w:pStyle w:val="ListParagraph"/>
        <w:numPr>
          <w:ilvl w:val="1"/>
          <w:numId w:val="1"/>
        </w:numPr>
        <w:spacing w:after="480"/>
        <w:contextualSpacing w:val="0"/>
        <w:jc w:val="both"/>
        <w:rPr>
          <w:rFonts w:ascii="Proxima Nova Rg" w:hAnsi="Proxima Nova Rg"/>
          <w:sz w:val="22"/>
          <w:szCs w:val="22"/>
        </w:rPr>
      </w:pPr>
      <w:r w:rsidRPr="00C608C2">
        <w:rPr>
          <w:rFonts w:ascii="Proxima Nova Rg" w:hAnsi="Proxima Nova Rg"/>
          <w:sz w:val="22"/>
          <w:szCs w:val="22"/>
        </w:rPr>
        <w:t>If any Non-Responding Employees continued not to respond then their contracts would not be varied or adopted and they would be an unsecured creditor in the administration.</w:t>
      </w:r>
    </w:p>
    <w:p w:rsidR="00B962A2" w:rsidRPr="00C608C2" w:rsidRDefault="00BE5FD7" w:rsidP="00BE5FD7">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Snowden J also noted that the Administrators could continue to ensure that the Variation Letter had reached the Non-Responding Employees (and </w:t>
      </w:r>
      <w:r w:rsidR="00F3679A" w:rsidRPr="00C608C2">
        <w:rPr>
          <w:rFonts w:ascii="Proxima Nova Rg" w:hAnsi="Proxima Nova Rg"/>
          <w:sz w:val="22"/>
          <w:szCs w:val="22"/>
        </w:rPr>
        <w:t>assist them in making a decision</w:t>
      </w:r>
      <w:r w:rsidRPr="00C608C2">
        <w:rPr>
          <w:rFonts w:ascii="Proxima Nova Rg" w:hAnsi="Proxima Nova Rg"/>
          <w:sz w:val="22"/>
          <w:szCs w:val="22"/>
        </w:rPr>
        <w:t xml:space="preserve"> on it)without risking adoption of the original employment contract: “</w:t>
      </w:r>
      <w:r w:rsidRPr="00C608C2">
        <w:rPr>
          <w:rFonts w:ascii="Proxima Nova Rg" w:hAnsi="Proxima Nova Rg"/>
          <w:i/>
          <w:sz w:val="22"/>
          <w:szCs w:val="22"/>
        </w:rPr>
        <w:t>[a] reiteration by the Administrators after 14 days of the offer of a varied contract is the antithesis of an act of adoption of the contract in its original form</w:t>
      </w:r>
      <w:r w:rsidRPr="00C608C2">
        <w:rPr>
          <w:rFonts w:ascii="Proxima Nova Rg" w:hAnsi="Proxima Nova Rg"/>
          <w:sz w:val="22"/>
          <w:szCs w:val="22"/>
        </w:rPr>
        <w:t>”.</w:t>
      </w:r>
      <w:r w:rsidRPr="00C608C2">
        <w:rPr>
          <w:rStyle w:val="FootnoteReference"/>
          <w:rFonts w:ascii="Proxima Nova Rg" w:hAnsi="Proxima Nova Rg"/>
          <w:sz w:val="22"/>
          <w:szCs w:val="22"/>
        </w:rPr>
        <w:footnoteReference w:id="9"/>
      </w:r>
    </w:p>
    <w:p w:rsidR="00233095" w:rsidRPr="00C608C2" w:rsidRDefault="00233095" w:rsidP="00233095">
      <w:pPr>
        <w:spacing w:after="480"/>
        <w:jc w:val="both"/>
        <w:rPr>
          <w:rFonts w:ascii="Proxima Nova Rg" w:hAnsi="Proxima Nova Rg"/>
          <w:b/>
          <w:sz w:val="22"/>
          <w:szCs w:val="22"/>
        </w:rPr>
      </w:pPr>
      <w:r w:rsidRPr="00C608C2">
        <w:rPr>
          <w:rFonts w:ascii="Proxima Nova Rg" w:hAnsi="Proxima Nova Rg"/>
          <w:b/>
          <w:sz w:val="22"/>
          <w:szCs w:val="22"/>
        </w:rPr>
        <w:t>Conclusion</w:t>
      </w:r>
    </w:p>
    <w:p w:rsidR="00233095" w:rsidRPr="00C608C2" w:rsidRDefault="00233095" w:rsidP="00BE5FD7">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lastRenderedPageBreak/>
        <w:t xml:space="preserve">This decision provides welcome guidance for insolvency practitioners at a time of great uncertainty. </w:t>
      </w:r>
      <w:r w:rsidR="00B55DD7" w:rsidRPr="00C608C2">
        <w:rPr>
          <w:rFonts w:ascii="Proxima Nova Rg" w:hAnsi="Proxima Nova Rg"/>
          <w:sz w:val="22"/>
          <w:szCs w:val="22"/>
        </w:rPr>
        <w:t>However, and a</w:t>
      </w:r>
      <w:r w:rsidRPr="00C608C2">
        <w:rPr>
          <w:rFonts w:ascii="Proxima Nova Rg" w:hAnsi="Proxima Nova Rg"/>
          <w:sz w:val="22"/>
          <w:szCs w:val="22"/>
        </w:rPr>
        <w:t>s Snowden J noted, it is not clear how the Government or the employees of the Company will be bound by the decision</w:t>
      </w:r>
      <w:r w:rsidR="000D7661" w:rsidRPr="00C608C2">
        <w:rPr>
          <w:rFonts w:ascii="Proxima Nova Rg" w:hAnsi="Proxima Nova Rg"/>
          <w:sz w:val="22"/>
          <w:szCs w:val="22"/>
        </w:rPr>
        <w:t xml:space="preserve"> given they were not represented</w:t>
      </w:r>
      <w:r w:rsidRPr="00C608C2">
        <w:rPr>
          <w:rFonts w:ascii="Proxima Nova Rg" w:hAnsi="Proxima Nova Rg"/>
          <w:sz w:val="22"/>
          <w:szCs w:val="22"/>
        </w:rPr>
        <w:t>, and it may be that the conclusions that the judge reached turn out to be wrong, or are overtaken by events and/or the legislation for the Scheme.</w:t>
      </w:r>
    </w:p>
    <w:p w:rsidR="00F65A81" w:rsidRPr="00C608C2" w:rsidRDefault="00233095" w:rsidP="00BE5FD7">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In the meantime, it would appear advisable for administrators to </w:t>
      </w:r>
      <w:r w:rsidR="00D71CFA" w:rsidRPr="00C608C2">
        <w:rPr>
          <w:rFonts w:ascii="Proxima Nova Rg" w:hAnsi="Proxima Nova Rg"/>
          <w:sz w:val="22"/>
          <w:szCs w:val="22"/>
        </w:rPr>
        <w:t xml:space="preserve">follow the model adopted by the Administrators and </w:t>
      </w:r>
      <w:r w:rsidRPr="00C608C2">
        <w:rPr>
          <w:rFonts w:ascii="Proxima Nova Rg" w:hAnsi="Proxima Nova Rg"/>
          <w:sz w:val="22"/>
          <w:szCs w:val="22"/>
        </w:rPr>
        <w:t xml:space="preserve">seek directions from the court if they intend to take advantage of the Scheme, </w:t>
      </w:r>
      <w:r w:rsidR="00D71CFA" w:rsidRPr="00C608C2">
        <w:rPr>
          <w:rFonts w:ascii="Proxima Nova Rg" w:hAnsi="Proxima Nova Rg"/>
          <w:sz w:val="22"/>
          <w:szCs w:val="22"/>
        </w:rPr>
        <w:t>while joining</w:t>
      </w:r>
      <w:r w:rsidRPr="00C608C2">
        <w:rPr>
          <w:rFonts w:ascii="Proxima Nova Rg" w:hAnsi="Proxima Nova Rg"/>
          <w:sz w:val="22"/>
          <w:szCs w:val="22"/>
        </w:rPr>
        <w:t xml:space="preserve"> as many interested parties as possible in the limited 14-day window provided by paragraph 99(5)</w:t>
      </w:r>
      <w:r w:rsidR="00D71CFA" w:rsidRPr="00C608C2">
        <w:rPr>
          <w:rFonts w:ascii="Proxima Nova Rg" w:hAnsi="Proxima Nova Rg"/>
          <w:sz w:val="22"/>
          <w:szCs w:val="22"/>
        </w:rPr>
        <w:t xml:space="preserve"> so that they are bound by the decision</w:t>
      </w:r>
      <w:r w:rsidRPr="00C608C2">
        <w:rPr>
          <w:rFonts w:ascii="Proxima Nova Rg" w:hAnsi="Proxima Nova Rg"/>
          <w:sz w:val="22"/>
          <w:szCs w:val="22"/>
        </w:rPr>
        <w:t>.</w:t>
      </w:r>
    </w:p>
    <w:p w:rsidR="00233095" w:rsidRPr="00C608C2" w:rsidRDefault="00F65A81" w:rsidP="00BE5FD7">
      <w:pPr>
        <w:pStyle w:val="ListParagraph"/>
        <w:numPr>
          <w:ilvl w:val="0"/>
          <w:numId w:val="1"/>
        </w:numPr>
        <w:spacing w:after="480"/>
        <w:contextualSpacing w:val="0"/>
        <w:jc w:val="both"/>
        <w:rPr>
          <w:rFonts w:ascii="Proxima Nova Rg" w:hAnsi="Proxima Nova Rg"/>
          <w:sz w:val="22"/>
          <w:szCs w:val="22"/>
        </w:rPr>
      </w:pPr>
      <w:r w:rsidRPr="00C608C2">
        <w:rPr>
          <w:rFonts w:ascii="Proxima Nova Rg" w:hAnsi="Proxima Nova Rg"/>
          <w:sz w:val="22"/>
          <w:szCs w:val="22"/>
        </w:rPr>
        <w:t xml:space="preserve">It is difficult to see what else administrators might do in these </w:t>
      </w:r>
      <w:bookmarkStart w:id="0" w:name="_GoBack"/>
      <w:bookmarkEnd w:id="0"/>
      <w:r w:rsidRPr="00C608C2">
        <w:rPr>
          <w:rFonts w:ascii="Proxima Nova Rg" w:hAnsi="Proxima Nova Rg"/>
          <w:sz w:val="22"/>
          <w:szCs w:val="22"/>
        </w:rPr>
        <w:t>circumstances, and any challenge by employees or other creditors that seeks to defeat the logic of this decision is likely to be unattractive to any tribunal.</w:t>
      </w:r>
    </w:p>
    <w:p w:rsidR="00233095" w:rsidRPr="00C608C2" w:rsidRDefault="00233095" w:rsidP="00C47D4C">
      <w:pPr>
        <w:tabs>
          <w:tab w:val="left" w:pos="6237"/>
        </w:tabs>
        <w:spacing w:after="480"/>
        <w:contextualSpacing/>
        <w:jc w:val="right"/>
        <w:rPr>
          <w:rFonts w:ascii="Proxima Nova Rg" w:hAnsi="Proxima Nova Rg"/>
          <w:b/>
          <w:sz w:val="22"/>
          <w:szCs w:val="22"/>
        </w:rPr>
      </w:pPr>
      <w:r w:rsidRPr="00C608C2">
        <w:rPr>
          <w:rFonts w:ascii="Proxima Nova Rg" w:hAnsi="Proxima Nova Rg"/>
          <w:b/>
          <w:sz w:val="22"/>
          <w:szCs w:val="22"/>
        </w:rPr>
        <w:t>Chris Dunk</w:t>
      </w:r>
    </w:p>
    <w:p w:rsidR="00C47D4C" w:rsidRDefault="00233095" w:rsidP="00C47D4C">
      <w:pPr>
        <w:tabs>
          <w:tab w:val="left" w:pos="6237"/>
        </w:tabs>
        <w:spacing w:after="480"/>
        <w:contextualSpacing/>
        <w:jc w:val="right"/>
        <w:rPr>
          <w:rFonts w:ascii="Proxima Nova Rg" w:hAnsi="Proxima Nova Rg"/>
          <w:b/>
          <w:sz w:val="22"/>
          <w:szCs w:val="22"/>
        </w:rPr>
      </w:pPr>
      <w:r w:rsidRPr="00C608C2">
        <w:rPr>
          <w:rFonts w:ascii="Proxima Nova Rg" w:hAnsi="Proxima Nova Rg"/>
          <w:b/>
          <w:sz w:val="22"/>
          <w:szCs w:val="22"/>
        </w:rPr>
        <w:t xml:space="preserve">Enterprise </w:t>
      </w:r>
      <w:r w:rsidR="00C47D4C">
        <w:rPr>
          <w:rFonts w:ascii="Proxima Nova Rg" w:hAnsi="Proxima Nova Rg"/>
          <w:b/>
          <w:sz w:val="22"/>
          <w:szCs w:val="22"/>
        </w:rPr>
        <w:t>Chambers</w:t>
      </w:r>
    </w:p>
    <w:p w:rsidR="00233095" w:rsidRPr="00C608C2" w:rsidRDefault="00233095" w:rsidP="00C47D4C">
      <w:pPr>
        <w:tabs>
          <w:tab w:val="left" w:pos="6237"/>
        </w:tabs>
        <w:spacing w:after="480"/>
        <w:contextualSpacing/>
        <w:jc w:val="right"/>
        <w:rPr>
          <w:rFonts w:ascii="Proxima Nova Rg" w:hAnsi="Proxima Nova Rg"/>
          <w:b/>
          <w:sz w:val="22"/>
          <w:szCs w:val="22"/>
        </w:rPr>
      </w:pPr>
      <w:r w:rsidRPr="00C608C2">
        <w:rPr>
          <w:rFonts w:ascii="Proxima Nova Rg" w:hAnsi="Proxima Nova Rg"/>
          <w:b/>
          <w:sz w:val="22"/>
          <w:szCs w:val="22"/>
        </w:rPr>
        <w:t>15 April 2020</w:t>
      </w:r>
    </w:p>
    <w:sectPr w:rsidR="00233095" w:rsidRPr="00C608C2" w:rsidSect="00C81504">
      <w:footerReference w:type="even" r:id="rId10"/>
      <w:footerReference w:type="default" r:id="rId11"/>
      <w:pgSz w:w="11900" w:h="16840"/>
      <w:pgMar w:top="1440" w:right="1701"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FA5" w:rsidRDefault="00B84FA5" w:rsidP="000C43CC">
      <w:r>
        <w:separator/>
      </w:r>
    </w:p>
  </w:endnote>
  <w:endnote w:type="continuationSeparator" w:id="1">
    <w:p w:rsidR="00B84FA5" w:rsidRDefault="00B84FA5" w:rsidP="000C4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roxima Nova Rg">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8554257"/>
      <w:docPartObj>
        <w:docPartGallery w:val="Page Numbers (Bottom of Page)"/>
        <w:docPartUnique/>
      </w:docPartObj>
    </w:sdtPr>
    <w:sdtContent>
      <w:p w:rsidR="000C43CC" w:rsidRDefault="00D27B2E" w:rsidP="00183C88">
        <w:pPr>
          <w:pStyle w:val="Footer"/>
          <w:framePr w:wrap="none" w:vAnchor="text" w:hAnchor="margin" w:xAlign="center" w:y="1"/>
          <w:rPr>
            <w:rStyle w:val="PageNumber"/>
          </w:rPr>
        </w:pPr>
        <w:r>
          <w:rPr>
            <w:rStyle w:val="PageNumber"/>
          </w:rPr>
          <w:fldChar w:fldCharType="begin"/>
        </w:r>
        <w:r w:rsidR="000C43CC">
          <w:rPr>
            <w:rStyle w:val="PageNumber"/>
          </w:rPr>
          <w:instrText xml:space="preserve"> PAGE </w:instrText>
        </w:r>
        <w:r>
          <w:rPr>
            <w:rStyle w:val="PageNumber"/>
          </w:rPr>
          <w:fldChar w:fldCharType="end"/>
        </w:r>
      </w:p>
    </w:sdtContent>
  </w:sdt>
  <w:p w:rsidR="000C43CC" w:rsidRDefault="000C4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53841104"/>
      <w:docPartObj>
        <w:docPartGallery w:val="Page Numbers (Bottom of Page)"/>
        <w:docPartUnique/>
      </w:docPartObj>
    </w:sdtPr>
    <w:sdtContent>
      <w:p w:rsidR="000C43CC" w:rsidRDefault="00D27B2E" w:rsidP="00183C88">
        <w:pPr>
          <w:pStyle w:val="Footer"/>
          <w:framePr w:wrap="none" w:vAnchor="text" w:hAnchor="margin" w:xAlign="center" w:y="1"/>
          <w:rPr>
            <w:rStyle w:val="PageNumber"/>
          </w:rPr>
        </w:pPr>
        <w:r>
          <w:rPr>
            <w:rStyle w:val="PageNumber"/>
          </w:rPr>
          <w:fldChar w:fldCharType="begin"/>
        </w:r>
        <w:r w:rsidR="000C43CC">
          <w:rPr>
            <w:rStyle w:val="PageNumber"/>
          </w:rPr>
          <w:instrText xml:space="preserve"> PAGE </w:instrText>
        </w:r>
        <w:r>
          <w:rPr>
            <w:rStyle w:val="PageNumber"/>
          </w:rPr>
          <w:fldChar w:fldCharType="separate"/>
        </w:r>
        <w:r w:rsidR="00C47D4C">
          <w:rPr>
            <w:rStyle w:val="PageNumber"/>
            <w:noProof/>
          </w:rPr>
          <w:t>1</w:t>
        </w:r>
        <w:r>
          <w:rPr>
            <w:rStyle w:val="PageNumber"/>
          </w:rPr>
          <w:fldChar w:fldCharType="end"/>
        </w:r>
      </w:p>
    </w:sdtContent>
  </w:sdt>
  <w:p w:rsidR="000C43CC" w:rsidRDefault="000C4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FA5" w:rsidRDefault="00B84FA5" w:rsidP="000C43CC">
      <w:r>
        <w:separator/>
      </w:r>
    </w:p>
  </w:footnote>
  <w:footnote w:type="continuationSeparator" w:id="1">
    <w:p w:rsidR="00B84FA5" w:rsidRDefault="00B84FA5" w:rsidP="000C43CC">
      <w:r>
        <w:continuationSeparator/>
      </w:r>
    </w:p>
  </w:footnote>
  <w:footnote w:id="2">
    <w:p w:rsidR="007F14F9" w:rsidRDefault="007F14F9">
      <w:pPr>
        <w:pStyle w:val="FootnoteText"/>
      </w:pPr>
      <w:r>
        <w:rPr>
          <w:rStyle w:val="FootnoteReference"/>
        </w:rPr>
        <w:footnoteRef/>
      </w:r>
      <w:r>
        <w:t xml:space="preserve"> Paragraph 32 of the judgment</w:t>
      </w:r>
    </w:p>
  </w:footnote>
  <w:footnote w:id="3">
    <w:p w:rsidR="007F14F9" w:rsidRDefault="007F14F9">
      <w:pPr>
        <w:pStyle w:val="FootnoteText"/>
      </w:pPr>
      <w:r>
        <w:rPr>
          <w:rStyle w:val="FootnoteReference"/>
        </w:rPr>
        <w:footnoteRef/>
      </w:r>
      <w:r>
        <w:t xml:space="preserve"> Paragraph 33</w:t>
      </w:r>
    </w:p>
  </w:footnote>
  <w:footnote w:id="4">
    <w:p w:rsidR="009116FC" w:rsidRDefault="009116FC" w:rsidP="00233095">
      <w:pPr>
        <w:pStyle w:val="FootnoteText"/>
        <w:jc w:val="both"/>
      </w:pPr>
      <w:r>
        <w:rPr>
          <w:rStyle w:val="FootnoteReference"/>
        </w:rPr>
        <w:footnoteRef/>
      </w:r>
      <w:r>
        <w:t xml:space="preserve"> Paragraph 7. Snowden J did however receive written submissions from Mr Brittenden and heard submissions from Mr Segal QC on behalf of Unite the Union: paragraph 11. Unite did not have any time to consult its members, several of whom are among the employees of the Company, but sought to protect their interests.</w:t>
      </w:r>
    </w:p>
  </w:footnote>
  <w:footnote w:id="5">
    <w:p w:rsidR="007F14F9" w:rsidRDefault="007F14F9" w:rsidP="00233095">
      <w:pPr>
        <w:pStyle w:val="FootnoteText"/>
        <w:jc w:val="both"/>
      </w:pPr>
      <w:r>
        <w:rPr>
          <w:rStyle w:val="FootnoteReference"/>
        </w:rPr>
        <w:footnoteRef/>
      </w:r>
      <w:r>
        <w:t xml:space="preserve"> Paragraph 9.</w:t>
      </w:r>
    </w:p>
  </w:footnote>
  <w:footnote w:id="6">
    <w:p w:rsidR="00233095" w:rsidRDefault="00233095">
      <w:pPr>
        <w:pStyle w:val="FootnoteText"/>
      </w:pPr>
      <w:r>
        <w:rPr>
          <w:rStyle w:val="FootnoteReference"/>
        </w:rPr>
        <w:footnoteRef/>
      </w:r>
      <w:r>
        <w:t xml:space="preserve"> Paragraphs 44 to 54.</w:t>
      </w:r>
    </w:p>
  </w:footnote>
  <w:footnote w:id="7">
    <w:p w:rsidR="000F5B6E" w:rsidRDefault="000F5B6E">
      <w:pPr>
        <w:pStyle w:val="FootnoteText"/>
      </w:pPr>
      <w:r>
        <w:rPr>
          <w:rStyle w:val="FootnoteReference"/>
        </w:rPr>
        <w:footnoteRef/>
      </w:r>
      <w:r>
        <w:t xml:space="preserve"> Paragraphs 90 to 102.</w:t>
      </w:r>
    </w:p>
  </w:footnote>
  <w:footnote w:id="8">
    <w:p w:rsidR="003C446C" w:rsidRDefault="003C446C">
      <w:pPr>
        <w:pStyle w:val="FootnoteText"/>
      </w:pPr>
      <w:r>
        <w:rPr>
          <w:rStyle w:val="FootnoteReference"/>
        </w:rPr>
        <w:footnoteRef/>
      </w:r>
      <w:r>
        <w:t xml:space="preserve"> Paragraph 99</w:t>
      </w:r>
    </w:p>
  </w:footnote>
  <w:footnote w:id="9">
    <w:p w:rsidR="00BE5FD7" w:rsidRDefault="00BE5FD7">
      <w:pPr>
        <w:pStyle w:val="FootnoteText"/>
      </w:pPr>
      <w:r>
        <w:rPr>
          <w:rStyle w:val="FootnoteReference"/>
        </w:rPr>
        <w:footnoteRef/>
      </w:r>
      <w:r w:rsidR="000F5B6E">
        <w:t>Paragraph 110.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C0D9A"/>
    <w:multiLevelType w:val="multilevel"/>
    <w:tmpl w:val="AE6AC0AE"/>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C62E6"/>
    <w:rsid w:val="000C43CC"/>
    <w:rsid w:val="000D7661"/>
    <w:rsid w:val="000F5B6E"/>
    <w:rsid w:val="001646B5"/>
    <w:rsid w:val="001C62E6"/>
    <w:rsid w:val="001E531A"/>
    <w:rsid w:val="001E5C48"/>
    <w:rsid w:val="00212475"/>
    <w:rsid w:val="00233095"/>
    <w:rsid w:val="002D4F43"/>
    <w:rsid w:val="00317B1C"/>
    <w:rsid w:val="003C446C"/>
    <w:rsid w:val="0041193C"/>
    <w:rsid w:val="0042217B"/>
    <w:rsid w:val="005D7BC0"/>
    <w:rsid w:val="006661F8"/>
    <w:rsid w:val="00703C03"/>
    <w:rsid w:val="00734EB4"/>
    <w:rsid w:val="007F14F9"/>
    <w:rsid w:val="00843AE0"/>
    <w:rsid w:val="0090326C"/>
    <w:rsid w:val="009116FC"/>
    <w:rsid w:val="009179DC"/>
    <w:rsid w:val="009F6F5E"/>
    <w:rsid w:val="00A63A10"/>
    <w:rsid w:val="00AC3563"/>
    <w:rsid w:val="00B55DD7"/>
    <w:rsid w:val="00B7310A"/>
    <w:rsid w:val="00B84FA5"/>
    <w:rsid w:val="00B962A2"/>
    <w:rsid w:val="00BE5FD7"/>
    <w:rsid w:val="00C47D4C"/>
    <w:rsid w:val="00C608C2"/>
    <w:rsid w:val="00C81504"/>
    <w:rsid w:val="00CC4770"/>
    <w:rsid w:val="00D27B2E"/>
    <w:rsid w:val="00D61D0E"/>
    <w:rsid w:val="00D71CFA"/>
    <w:rsid w:val="00DA7984"/>
    <w:rsid w:val="00DC0402"/>
    <w:rsid w:val="00EF31D1"/>
    <w:rsid w:val="00F3679A"/>
    <w:rsid w:val="00F65A81"/>
    <w:rsid w:val="00F825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2E6"/>
    <w:pPr>
      <w:ind w:left="720"/>
      <w:contextualSpacing/>
    </w:pPr>
  </w:style>
  <w:style w:type="paragraph" w:styleId="Footer">
    <w:name w:val="footer"/>
    <w:basedOn w:val="Normal"/>
    <w:link w:val="FooterChar"/>
    <w:uiPriority w:val="99"/>
    <w:unhideWhenUsed/>
    <w:rsid w:val="000C43CC"/>
    <w:pPr>
      <w:tabs>
        <w:tab w:val="center" w:pos="4513"/>
        <w:tab w:val="right" w:pos="9026"/>
      </w:tabs>
    </w:pPr>
  </w:style>
  <w:style w:type="character" w:customStyle="1" w:styleId="FooterChar">
    <w:name w:val="Footer Char"/>
    <w:basedOn w:val="DefaultParagraphFont"/>
    <w:link w:val="Footer"/>
    <w:uiPriority w:val="99"/>
    <w:rsid w:val="000C43CC"/>
  </w:style>
  <w:style w:type="character" w:styleId="PageNumber">
    <w:name w:val="page number"/>
    <w:basedOn w:val="DefaultParagraphFont"/>
    <w:uiPriority w:val="99"/>
    <w:semiHidden/>
    <w:unhideWhenUsed/>
    <w:rsid w:val="000C43CC"/>
  </w:style>
  <w:style w:type="character" w:styleId="Hyperlink">
    <w:name w:val="Hyperlink"/>
    <w:basedOn w:val="DefaultParagraphFont"/>
    <w:uiPriority w:val="99"/>
    <w:unhideWhenUsed/>
    <w:rsid w:val="000C43CC"/>
    <w:rPr>
      <w:color w:val="0563C1" w:themeColor="hyperlink"/>
      <w:u w:val="single"/>
    </w:rPr>
  </w:style>
  <w:style w:type="character" w:customStyle="1" w:styleId="UnresolvedMention">
    <w:name w:val="Unresolved Mention"/>
    <w:basedOn w:val="DefaultParagraphFont"/>
    <w:uiPriority w:val="99"/>
    <w:rsid w:val="000C43CC"/>
    <w:rPr>
      <w:color w:val="605E5C"/>
      <w:shd w:val="clear" w:color="auto" w:fill="E1DFDD"/>
    </w:rPr>
  </w:style>
  <w:style w:type="paragraph" w:styleId="FootnoteText">
    <w:name w:val="footnote text"/>
    <w:basedOn w:val="Normal"/>
    <w:link w:val="FootnoteTextChar"/>
    <w:uiPriority w:val="99"/>
    <w:semiHidden/>
    <w:unhideWhenUsed/>
    <w:rsid w:val="009116FC"/>
    <w:rPr>
      <w:sz w:val="20"/>
      <w:szCs w:val="20"/>
    </w:rPr>
  </w:style>
  <w:style w:type="character" w:customStyle="1" w:styleId="FootnoteTextChar">
    <w:name w:val="Footnote Text Char"/>
    <w:basedOn w:val="DefaultParagraphFont"/>
    <w:link w:val="FootnoteText"/>
    <w:uiPriority w:val="99"/>
    <w:semiHidden/>
    <w:rsid w:val="009116FC"/>
    <w:rPr>
      <w:sz w:val="20"/>
      <w:szCs w:val="20"/>
    </w:rPr>
  </w:style>
  <w:style w:type="character" w:styleId="FootnoteReference">
    <w:name w:val="footnote reference"/>
    <w:basedOn w:val="DefaultParagraphFont"/>
    <w:uiPriority w:val="99"/>
    <w:semiHidden/>
    <w:unhideWhenUsed/>
    <w:rsid w:val="009116FC"/>
    <w:rPr>
      <w:vertAlign w:val="superscript"/>
    </w:rPr>
  </w:style>
  <w:style w:type="paragraph" w:styleId="BalloonText">
    <w:name w:val="Balloon Text"/>
    <w:basedOn w:val="Normal"/>
    <w:link w:val="BalloonTextChar"/>
    <w:uiPriority w:val="99"/>
    <w:semiHidden/>
    <w:unhideWhenUsed/>
    <w:rsid w:val="00C608C2"/>
    <w:rPr>
      <w:rFonts w:ascii="Tahoma" w:hAnsi="Tahoma" w:cs="Tahoma"/>
      <w:sz w:val="16"/>
      <w:szCs w:val="16"/>
    </w:rPr>
  </w:style>
  <w:style w:type="character" w:customStyle="1" w:styleId="BalloonTextChar">
    <w:name w:val="Balloon Text Char"/>
    <w:basedOn w:val="DefaultParagraphFont"/>
    <w:link w:val="BalloonText"/>
    <w:uiPriority w:val="99"/>
    <w:semiHidden/>
    <w:rsid w:val="00C60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uidance/claim-for-wage-costs-through-the-coronavirus-job-retention-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A0295-2E89-D04F-8D55-5407D861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Dunk</dc:creator>
  <cp:keywords/>
  <dc:description/>
  <cp:lastModifiedBy>Raquel Debache</cp:lastModifiedBy>
  <cp:revision>20</cp:revision>
  <cp:lastPrinted>2020-04-15T13:06:00Z</cp:lastPrinted>
  <dcterms:created xsi:type="dcterms:W3CDTF">2020-04-14T14:08:00Z</dcterms:created>
  <dcterms:modified xsi:type="dcterms:W3CDTF">2020-04-16T08:12:00Z</dcterms:modified>
</cp:coreProperties>
</file>